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48" w:rsidRPr="00904348" w:rsidRDefault="00904348" w:rsidP="009043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04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ПУБЛИКАЦИИ</w:t>
      </w:r>
    </w:p>
    <w:p w:rsidR="00904348" w:rsidRPr="00904348" w:rsidRDefault="00904348" w:rsidP="009043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04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сотрудников кафедры неврологии и реабилитации КГМУ</w:t>
      </w:r>
    </w:p>
    <w:p w:rsidR="00904348" w:rsidRPr="00904348" w:rsidRDefault="00904348" w:rsidP="009043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04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рецензируемых журналах, рекомендованных ВАК за 2017 год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2274"/>
        <w:gridCol w:w="4256"/>
      </w:tblGrid>
      <w:tr w:rsidR="00904348" w:rsidRPr="00904348" w:rsidTr="00904348">
        <w:trPr>
          <w:trHeight w:val="3390"/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Список изданных трудов сотрудниками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кафедры,  за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2017 года (все публикации дублируются в научную библиотеку)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Статьи ВАК (со всеми выходными данными по ГОСТ),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импакт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1. 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Мунасипова С.Э., Залялова З.А.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 Клинико-лабораторная характеристика педиатрического остро возникшего нейропсихиатрического синдрома. // Журнал неврологии и психиатрии. - №12 –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2017.-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С.9-14. / ИФ - 0,716.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doi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: 10.17116 / jnevro201611681.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2. 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Залялова З.А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. Хафизова И.Ф.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Хаятова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З.Г Патофизиологические основы реабилитации при цервикальной дистонии. //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Фарматека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2017.-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№15.-С.7-15./ ИФ – 0,402.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doi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: 10.1111/j.1468-1331.2010.03042.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3.  Закирова Д.Р.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, 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Иксанова</w:t>
            </w:r>
            <w:proofErr w:type="spellEnd"/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Е.Н.,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Набиуллина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Г.Н.,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Амиров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Н.Б.,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Хузина Г.Р.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Паранеопластический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менингоэнцефалит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, ассоциированный с В-клеточной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лимфомой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.// Вестник современной клинической медицины, -Том 10. -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Вып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4. – 2017. - С.105-112.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doi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: 10.20969/VSKM.2017.10 (4).105-112.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4. 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Тахавиева Ф.В.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Преабилитация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 профилактике повреждений опорно-двигательного аппарата //Практическая медицина. – 2017. - №8(109)- С. 36-39.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5. Хасанов И.А.,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Богданов Э.И.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Клиническая характеристика транзиторных ишемий и инфарктов в вертебробазилярном бассейне / Неврологический вестник. -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2017.-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T.XLIX. -№3-С.56-59.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6. 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Файзутдинова А.Т.,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 Шакуров А.Р.,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Зиннатуллина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Ф.Ф.,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Фатхеева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Л.С.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,  Нурмиева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Ч.Р., Ярмухаметова М.Р., Закирова Р.И. Беременность при мальформация Киари и сирингомиелии: вопросы междисциплинарного взаимодействия // Практическая медицина. – 2017. - №8 (109) сентябрь. – С. 138-143.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7.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Гилязиева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М.Р.,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Файзутдинова А.Т. 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Амбулаторная помощь сельским пациентам с мальформацией Киари 1 типа и сирингомиелией: роль медицинских работников среднего звена // Неврол. 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 xml:space="preserve">вестник. Журнал им.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В.М.Бехтерева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. – 2017. – Т. XLIX. –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вып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. 3. – С. 104-105.</w:t>
            </w:r>
          </w:p>
        </w:tc>
      </w:tr>
      <w:tr w:rsidR="00904348" w:rsidRPr="00904348" w:rsidTr="00904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Зарубежные статьи (со всеми выходными данными по ГОСТ),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импакт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before="100" w:beforeAutospacing="1" w:after="100" w:afterAutospacing="1" w:line="240" w:lineRule="auto"/>
              <w:ind w:left="48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1.        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Khaibullina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S.F.,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n-US" w:eastAsia="ru-RU"/>
              </w:rPr>
              <w:t>Mendelevich E.G.,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 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Shigapova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L.H.,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Shagimardanova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E.,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Gazizova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G.,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Nikitin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A.,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Martynova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E.,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Davidyuk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Y.N.,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Bogdanov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E.I.,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Gusev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O., van den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Maagdenberg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A.M.J.M.,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Giniatullin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R.A.,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Rizvanov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A.A. Cerebellar atrophy and changes in cytokines associated with the CACNA1A R583Q mutation in a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russian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familial hemiplegic migraine type 1 family. // Frontiers in cellular neuroscience.-2017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.-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Volume11.-article263.- P.1-8.;  doi:10.3389frcel.2017. 00263</w:t>
            </w:r>
          </w:p>
        </w:tc>
      </w:tr>
      <w:tr w:rsidR="00904348" w:rsidRPr="00904348" w:rsidTr="00904348">
        <w:trPr>
          <w:trHeight w:val="18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Статьи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1.Залялова </w:t>
            </w:r>
            <w:proofErr w:type="gramStart"/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З.А.,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Латыпова</w:t>
            </w:r>
            <w:proofErr w:type="spellEnd"/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Г.Р. Маршрутизация пациентов с болезнью Паркинсона, получающих лечение посредством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инфузий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леводопа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/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карбидопа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интестинального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геля (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Дуодопа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).  Руководство для врачей «Болезнь Паркинсона и расстройства движения. / По материалам IV Национального Конгресса по болезни Паркинсона с международным участием, 11-13 сентября 2017г, Москва. –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Москва.-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2017. – с.195-196.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2. Богданов Р.Р.,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Залялова З.А.,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Якупов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Э.З., Литвиненко И.В., Тимофеева А.А., Ершова М.В.,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Иллариошкин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С.Н. Российский опыт применения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интестинальной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помпы с гелем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леводопы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/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карбидопы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.  Руководство для врачей «Болезнь Паркинсона и расстройства движения. / По материалам IV Национального Конгресса по болезни Паркинсона с международным участием, 11-13 сентября 2017г, Москва. –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Москва.-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2017. – с.190-194.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3. Закирова Д.Р.,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Иксанова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Е.Н.,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Набиуллина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Г.Н., Иваничев Г.А.,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Хузина Г.Р.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 Повышение эффективности и безопасности терапии пациентов с острой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люмбалгией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люмбоишалгией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: опыт сочетанного применения «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Артрозана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» и 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«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Комбилипена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» // Современная медицина. - №1(5).- 2017.- C.103-109.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4. 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Саковец Т.Г., Хузина Г.Р.,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Емелин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А.Л. Локальное применение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Долгит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-крем, гель в комплексной терапии заболеваний опорно-двигательного аппарата. // Современная медицина. - №2(6). – 2017. - C.114-118.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5. 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Хузина Г.Р.,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 Мамедов Х.И., Закирова Д.Р.,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Ситдикова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А.И. Применение препарата «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Димефосфон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» в комплексной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терапиипациентов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, перенесших инфаркт мозжечка в бассейне задней нижней мозжечковой артерии. // Современная медицина.  - №1(5). – 2017. - C. 47-52.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6.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Ситдикова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А.И.,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Хузина Г.Р.,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 Закирова Д.Р.,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Иксанова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Е.Н. Психогенное головокружение: клинические особенности и принципы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диагностики./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/ Современная медицина.  - №1(5). – 2017. - C. 26-28.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7. 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Тахавиева Ф.В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. Дыхательная гимнастика в практике врача-пульмонолога // Астма и аллергия. 2017. №2. С.12-16.</w:t>
            </w:r>
          </w:p>
        </w:tc>
      </w:tr>
      <w:tr w:rsidR="00904348" w:rsidRPr="00904348" w:rsidTr="00904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Статья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Scopus(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со всеми выходными данными по ГОСТ),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импакт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1.Мунасипова С.Э., Залялова </w:t>
            </w:r>
            <w:proofErr w:type="spellStart"/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З.А.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Клинико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-лабораторная характеристика педиатрического остро возникшего нейропсихиатрического синдрома. // Журнал неврологии и психиатрии. - №12 –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2017.-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С.9-14. / ИФ - 0,716.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doi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: 10.17116 / jnevro201611681.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2.Мунасипова С.Э., Залялова </w:t>
            </w:r>
            <w:proofErr w:type="spellStart"/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З.А.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Слюнотечение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после инсульта /// Журнал неврологии и психиатрии. - №1 – 2017.- С.      /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doi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: 10.17116/jnevro201711711</w:t>
            </w:r>
          </w:p>
        </w:tc>
      </w:tr>
      <w:tr w:rsidR="00904348" w:rsidRPr="00904348" w:rsidTr="00904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Статья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WebofSince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WoK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(со всеми выходными данными по ГОСТ),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импакт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</w:tr>
      <w:tr w:rsidR="00904348" w:rsidRPr="00904348" w:rsidTr="00904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Изданные монографии (с выходными данными по ГОСТ) всех авторов, название монографии полное, без сокращений, год 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before="100" w:beforeAutospacing="1" w:after="100" w:afterAutospacing="1" w:line="240" w:lineRule="auto"/>
              <w:ind w:left="48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1.    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Богданов </w:t>
            </w:r>
            <w:proofErr w:type="spellStart"/>
            <w:proofErr w:type="gramStart"/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Э.И.,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Сигал</w:t>
            </w:r>
            <w:proofErr w:type="spellEnd"/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Е.И., Сигал А.М., Бурмистров М.В., Девликамова Ф.И., Сигал Р.Е.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Видеоторакоскопическая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тимэктомия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 комплексном лечении миастении. Учебное пособие для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врачей.-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Казань: Издательство «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ТаГраф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», 2017.-32 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 xml:space="preserve">с.,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илл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/ISBN978-5-9909357-1-6 / УДК 615.54-089.85.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ind w:left="48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2.    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Богданов Э.И., 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Нурмева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Ч.Р.Синдромы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амиотрофий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плечевого пояса и рук. Глава монографии. / В.: Болезни нервной системы – механизмы развития. Диагностика и лечение. Под ред.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Е.И.Гусева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А.Б.Гехт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. –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М.:ООО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«Буки-Веди», 2017.- 840с. – С.209-221.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ind w:left="48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3.                 Рябчиков И.В., Панков И.О.,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Тахавиева Ф.В. 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и др.  Том 1. Качество жизни пациентов с повреждениями дистального суставного отдела костей голени. / В кн.: Особенности хирургического лечения и медицинской реабилитации пациентов с около- и внутрисуставными переломами костей нижних конечностей. - М.: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Интернаука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, 2017. – 164 с.</w:t>
            </w:r>
          </w:p>
        </w:tc>
      </w:tr>
      <w:tr w:rsidR="00904348" w:rsidRPr="00904348" w:rsidTr="00904348">
        <w:trPr>
          <w:trHeight w:val="555"/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Тезисы конференций, с указанием статуса конференции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1. 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Залялова З.А.,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Хаятова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З.Г. Аффективные расстройства при цервикальной дистонии, блефароспазме и синдроме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мейжа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. //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Тезисы  IV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Национального Конгресса по болезни Паркинсона с международным участием, 11-13 сентября 2017г, Москва. –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Москва.-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2017. – с.315.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2.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Залялова З.А., Мунасипова С.Э.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 Эпидемиологические особенности болезни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Гентингтона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 Республике Татарстан.  //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Тезисы  IV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Национального Конгресса по болезни Паркинсона с международным участием, 11-13 сентября 2017г, Москва. –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Москва.-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2017. – с.315-316.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3. 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Залялова З.А.,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 Хасанова Д.М.  Соотношение катехоламинов плазмы крови у пациентов с различными формами болезни Паркинсона.  //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Тезисы  IV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Национального Конгресса по болезни Паркинсона с международным участием, 11-13 сентября 2017г, Москва. –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Москва.-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2017. – с.316-317.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4. 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Залялова З.А., </w:t>
            </w:r>
            <w:proofErr w:type="spellStart"/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Багданова</w:t>
            </w:r>
            <w:proofErr w:type="spellEnd"/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Н.И.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 Клинико-анамнестические предикторы развития болезни Паркинсона.   //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Тезисы  IV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Национального Конгресса по болезни Паркинсона с международным участием, 11-13 сентября 2017г, Москва. –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Москва.-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2017. – с.317.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7. </w:t>
            </w:r>
            <w:proofErr w:type="spellStart"/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n-US" w:eastAsia="ru-RU"/>
              </w:rPr>
              <w:t>Zalyalova</w:t>
            </w:r>
            <w:proofErr w:type="spellEnd"/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n-US" w:eastAsia="ru-RU"/>
              </w:rPr>
              <w:t xml:space="preserve"> Z.A.,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 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Khasanova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D.M.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Catecholamines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'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concentrathion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ratio in plasma of early diagnosed treatment-naïve 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lastRenderedPageBreak/>
              <w:t>patients with Parkinson's disease / The materials of International congress of Parkinson's disease and movement disorders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.-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Vancouver.-2017.-P.377.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8. </w:t>
            </w:r>
            <w:proofErr w:type="spellStart"/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n-US" w:eastAsia="ru-RU"/>
              </w:rPr>
              <w:t>Zalyalova</w:t>
            </w:r>
            <w:proofErr w:type="spellEnd"/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n-US" w:eastAsia="ru-RU"/>
              </w:rPr>
              <w:t xml:space="preserve"> Z.A.,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 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Khasanova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D.M.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Catecholamines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’ concentration ratio in plasma of </w:t>
            </w:r>
            <w:proofErr w:type="gram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>early diagnosed</w:t>
            </w:r>
            <w:proofErr w:type="gram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 treatment-naive patients with Parkinson’s disease.  International Congress of Parkinson’s Disease and Movement Disorders, Vancouver, British Columbia, Canada, June 4–8, 2017-583 p.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9. 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Богданов Э.И.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 Дифференциальная диагностика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центромедуллярных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ишемий. / Материалы Международного конгресса, посвященного Всемирному дню инсульта, Москва, 25027.10.2017. Под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ред.Е.И.Гусева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А.Б.Гехт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М.Ю.Мартынова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. – М.: ОО «Буки-Веди», 2017. - С.469.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10.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Галиуллина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З.Р., Закирова Д.Р.,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Хузина Г.Р.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 Значение МРТ в выявлении особенностей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постишемических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и постинфекционных очаговых изменений головного мозга / Материалы Международного конгресса, посвященного Всемирному дню инсульта, Москва, 25027.10.2017. Под ред.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Е.И.Гусева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А.Б.Гехт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М.Ю.Мартынова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. – М.: ОО «Буки-Веди», 2017. - С.482.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11. Дашкина Л.Р., Мамедов Х.И.,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Хузина Г.Р.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 Факторы риска инсульта у лиц молодого возраста / Материалы Международного конгресса, посвященного Всемирному дню инсульта, Москва, 25027.10.2017. Под ред.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Е.И.Гусева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А.Б.Гехт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М.Ю.Мартынова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. – М.: ОО «Буки-Веди», 2017. - С.500.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12. Кривошеева М.К.,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Хузина Г.Р.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 Особенности диагностики ишемических церебеллярных инсультов / Материалы Международного конгресса, посвященного Всемирному дню инсульта, Москва, 25027.10.2017. Под ред.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Е.И.Гусева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А.Б.Гехт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М.Ю.Мартынова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. – М.: ОО «Буки-Веди», 2017. - С.563.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13. 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Богданов Э.И.,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 Хасанов И.А. Транзиторная ишемия в вертебробазилярном бассейне. / Материалы Международного конгресса, посвященного Всемирному дню инсульта, Москва, 25027.10.2017. Под ред.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Е.И.Гусева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А.Б.Гехт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М.Ю.Мартынова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. – М.: ОО «Буки-Веди», 2017. - С.482.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14. 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Файзутдинова А.Т. 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Нелекарственная терапия расстройств движения // Болезнь Паркинсона и расстройства движений. Руководство для врачей. По материалам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IVНационального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конгресса по болезни Паркинсона и расстройствам движений (Москва, 11-13 сентября 2017 года). – М.: 2017. – С. 354.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15.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Падюшова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Н.Р.,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Файзутдинова А.Т.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 Ранняя реабилитация расстройств равновесия // Болезнь Паркинсона и расстройства движений. По материалам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IVНационального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конгресса по болезни Паркинсона и расстройствам движений (Москва, 11-13 сентября 2017 года). – М.: 2017. – С. 339.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16. 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Файзутдинова А.Т.,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 Заббарова Р.С. Химизм токсических экстрапирамидных нарушений // Болезнь Паркинсона и расстройства движений. Руководство для врачей. По материалам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IVНационального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конгресса по болезни Паркинсона и расстройствам движений (Москва, 11-13 сентября 2017 года). – М.: 2017. – С. 354-355.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17. </w:t>
            </w:r>
            <w:r w:rsidRPr="0090434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Тахавиева Ф.В.</w:t>
            </w:r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Преабилитация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и ранняя реабилитация в нейрохирургии // Ш Международная научно-практическая конференция по </w:t>
            </w:r>
            <w:proofErr w:type="spellStart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нейрореабилитации</w:t>
            </w:r>
            <w:proofErr w:type="spellEnd"/>
            <w:r w:rsidRPr="0090434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 нейрохирургии. Материалы конференции, 13-15 декабря 2017 года. – 2017.- С. 187-188</w:t>
            </w:r>
          </w:p>
          <w:p w:rsidR="00904348" w:rsidRPr="00904348" w:rsidRDefault="00904348" w:rsidP="009043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904348" w:rsidRPr="00904348" w:rsidRDefault="00904348" w:rsidP="00904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904348" w:rsidRPr="00904348" w:rsidRDefault="00904348" w:rsidP="00904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04348" w:rsidRPr="00904348" w:rsidRDefault="00904348" w:rsidP="00904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04348" w:rsidRPr="00904348" w:rsidRDefault="00904348" w:rsidP="00904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04348" w:rsidRPr="00904348" w:rsidRDefault="00904348" w:rsidP="00904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04348" w:rsidRPr="00904348" w:rsidRDefault="00904348" w:rsidP="00904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04348" w:rsidRPr="00904348" w:rsidRDefault="00904348" w:rsidP="00904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904348" w:rsidRPr="0090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69"/>
    <w:rsid w:val="002C65B8"/>
    <w:rsid w:val="007C7969"/>
    <w:rsid w:val="0090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68F58-3B8B-496F-9016-1DBD143A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1530</Words>
  <Characters>8724</Characters>
  <Application>Microsoft Office Word</Application>
  <DocSecurity>0</DocSecurity>
  <Lines>72</Lines>
  <Paragraphs>20</Paragraphs>
  <ScaleCrop>false</ScaleCrop>
  <Company/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2022-05-01T21:32:00Z</dcterms:created>
  <dcterms:modified xsi:type="dcterms:W3CDTF">2022-05-01T21:34:00Z</dcterms:modified>
</cp:coreProperties>
</file>